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7377" w14:textId="5765EB2C" w:rsidR="00820A4C" w:rsidRDefault="00820A4C" w:rsidP="00820A4C">
      <w:pPr>
        <w:pStyle w:val="CRCoverPage"/>
        <w:tabs>
          <w:tab w:val="right" w:pos="9639"/>
        </w:tabs>
        <w:spacing w:after="0"/>
        <w:rPr>
          <w:b/>
          <w:i/>
          <w:noProof/>
          <w:sz w:val="28"/>
        </w:rPr>
      </w:pPr>
      <w:bookmarkStart w:id="0" w:name="_Hlk61177671"/>
      <w:r>
        <w:rPr>
          <w:b/>
          <w:noProof/>
          <w:sz w:val="24"/>
        </w:rPr>
        <w:t>3GPP TSG-</w:t>
      </w:r>
      <w:r w:rsidR="000811FD">
        <w:rPr>
          <w:b/>
          <w:noProof/>
          <w:sz w:val="24"/>
        </w:rPr>
        <w:t xml:space="preserve">RAN4 </w:t>
      </w:r>
      <w:r>
        <w:rPr>
          <w:b/>
          <w:noProof/>
          <w:sz w:val="24"/>
        </w:rPr>
        <w:t>Meeting #102-e</w:t>
      </w:r>
      <w:r>
        <w:rPr>
          <w:b/>
          <w:i/>
          <w:noProof/>
          <w:sz w:val="28"/>
        </w:rPr>
        <w:tab/>
      </w:r>
      <w:r w:rsidR="000811FD">
        <w:rPr>
          <w:b/>
          <w:i/>
          <w:noProof/>
          <w:sz w:val="28"/>
        </w:rPr>
        <w:t>R4-22</w:t>
      </w:r>
      <w:r>
        <w:rPr>
          <w:b/>
          <w:i/>
          <w:noProof/>
          <w:sz w:val="28"/>
        </w:rPr>
        <w:t>0</w:t>
      </w:r>
      <w:r w:rsidR="0020559C">
        <w:rPr>
          <w:b/>
          <w:i/>
          <w:noProof/>
          <w:sz w:val="28"/>
        </w:rPr>
        <w:t>5051</w:t>
      </w:r>
    </w:p>
    <w:p w14:paraId="42C4251F" w14:textId="77777777" w:rsidR="000811FD" w:rsidRDefault="00820A4C" w:rsidP="000811FD">
      <w:pPr>
        <w:pStyle w:val="Header"/>
        <w:tabs>
          <w:tab w:val="right" w:pos="9781"/>
          <w:tab w:val="right" w:pos="13323"/>
        </w:tabs>
        <w:outlineLvl w:val="0"/>
        <w:rPr>
          <w:sz w:val="24"/>
        </w:rPr>
      </w:pPr>
      <w:r w:rsidRPr="00467DC3">
        <w:rPr>
          <w:sz w:val="24"/>
        </w:rPr>
        <w:t>Electronic meeting,</w:t>
      </w:r>
      <w:r w:rsidR="000811FD">
        <w:rPr>
          <w:sz w:val="24"/>
        </w:rPr>
        <w:t xml:space="preserve"> February 21 – March 3, 2022</w:t>
      </w:r>
      <w:bookmarkEnd w:id="0"/>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40BED126"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bookmarkStart w:id="1" w:name="_Hlk91172386"/>
      <w:r w:rsidR="00807EBA" w:rsidRPr="007C7160">
        <w:rPr>
          <w:lang w:val="en-US"/>
        </w:rPr>
        <w:t xml:space="preserve">NTN: </w:t>
      </w:r>
      <w:bookmarkEnd w:id="1"/>
      <w:r w:rsidR="00954EEF" w:rsidRPr="00954EEF">
        <w:rPr>
          <w:lang w:val="en-US"/>
        </w:rPr>
        <w:t>General aspect related to TS assumptions</w:t>
      </w:r>
    </w:p>
    <w:p w14:paraId="38171D17" w14:textId="12708A1A" w:rsidR="00744830" w:rsidRPr="00467DC3" w:rsidRDefault="00744830" w:rsidP="00744830">
      <w:r w:rsidRPr="00467DC3">
        <w:rPr>
          <w:b/>
        </w:rPr>
        <w:t>Agenda item:</w:t>
      </w:r>
      <w:r w:rsidRPr="00467DC3">
        <w:tab/>
      </w:r>
      <w:r w:rsidRPr="00467DC3">
        <w:tab/>
      </w:r>
      <w:r w:rsidR="009A7A16">
        <w:t>10.13.1.4</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4D3698FE" w:rsidR="004F05E7" w:rsidRDefault="004F05E7" w:rsidP="004F05E7">
      <w:pPr>
        <w:shd w:val="clear" w:color="auto" w:fill="FFFFFF"/>
        <w:rPr>
          <w:rFonts w:eastAsia="MS Mincho"/>
          <w:lang w:val="en-US" w:eastAsia="ja-JP"/>
        </w:rPr>
      </w:pPr>
      <w:bookmarkStart w:id="2" w:name="_Hlk91172414"/>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0811FD">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been revised in last RAN#</w:t>
      </w:r>
      <w:r w:rsidR="00544FF3" w:rsidRPr="006D00A4">
        <w:rPr>
          <w:rFonts w:eastAsia="MS Mincho"/>
          <w:lang w:val="en-US" w:eastAsia="ja-JP"/>
        </w:rPr>
        <w:t>9</w:t>
      </w:r>
      <w:r w:rsidR="006D00A4" w:rsidRPr="006D00A4">
        <w:rPr>
          <w:rFonts w:eastAsia="MS Mincho"/>
          <w:lang w:val="en-US" w:eastAsia="ja-JP"/>
        </w:rPr>
        <w:t>4</w:t>
      </w:r>
      <w:r w:rsidRPr="006D00A4">
        <w:rPr>
          <w:rFonts w:eastAsia="MS Mincho"/>
          <w:lang w:val="en-US" w:eastAsia="ja-JP"/>
        </w:rPr>
        <w:t>-e meeting</w:t>
      </w:r>
      <w:r w:rsidR="00C56E50" w:rsidRPr="006D00A4">
        <w:rPr>
          <w:rFonts w:eastAsia="MS Mincho"/>
          <w:lang w:val="en-US" w:eastAsia="ja-JP"/>
        </w:rPr>
        <w:t xml:space="preserve"> </w:t>
      </w:r>
      <w:r w:rsidR="00C56E50" w:rsidRPr="006D00A4">
        <w:rPr>
          <w:rFonts w:eastAsia="MS Mincho"/>
          <w:lang w:val="en-US" w:eastAsia="ja-JP"/>
        </w:rPr>
        <w:fldChar w:fldCharType="begin"/>
      </w:r>
      <w:r w:rsidR="00C56E50" w:rsidRPr="006D00A4">
        <w:rPr>
          <w:rFonts w:eastAsia="MS Mincho"/>
          <w:lang w:val="en-US" w:eastAsia="ja-JP"/>
        </w:rPr>
        <w:instrText xml:space="preserve"> REF _Ref61295180 \r \h </w:instrText>
      </w:r>
      <w:r w:rsidR="00C13FF7" w:rsidRPr="006D00A4">
        <w:rPr>
          <w:rFonts w:eastAsia="MS Mincho"/>
          <w:lang w:val="en-US" w:eastAsia="ja-JP"/>
        </w:rPr>
        <w:instrText xml:space="preserve"> \* MERGEFORMAT </w:instrText>
      </w:r>
      <w:r w:rsidR="00C56E50" w:rsidRPr="006D00A4">
        <w:rPr>
          <w:rFonts w:eastAsia="MS Mincho"/>
          <w:lang w:val="en-US" w:eastAsia="ja-JP"/>
        </w:rPr>
      </w:r>
      <w:r w:rsidR="00C56E50" w:rsidRPr="006D00A4">
        <w:rPr>
          <w:rFonts w:eastAsia="MS Mincho"/>
          <w:lang w:val="en-US" w:eastAsia="ja-JP"/>
        </w:rPr>
        <w:fldChar w:fldCharType="separate"/>
      </w:r>
      <w:r w:rsidR="000811FD">
        <w:rPr>
          <w:rFonts w:eastAsia="MS Mincho"/>
          <w:lang w:val="en-US" w:eastAsia="ja-JP"/>
        </w:rPr>
        <w:t>[2]</w:t>
      </w:r>
      <w:r w:rsidR="00C56E50" w:rsidRPr="006D00A4">
        <w:rPr>
          <w:rFonts w:eastAsia="MS Mincho"/>
          <w:lang w:val="en-US" w:eastAsia="ja-JP"/>
        </w:rPr>
        <w:fldChar w:fldCharType="end"/>
      </w:r>
      <w:r w:rsidRPr="006D00A4">
        <w:rPr>
          <w:rFonts w:eastAsia="MS Mincho"/>
          <w:lang w:val="en-US" w:eastAsia="ja-JP"/>
        </w:rPr>
        <w:t>.</w:t>
      </w:r>
    </w:p>
    <w:p w14:paraId="0B07E0B7" w14:textId="1A58499C" w:rsidR="00E14D3C" w:rsidRDefault="00954EEF" w:rsidP="00E14D3C">
      <w:pPr>
        <w:shd w:val="clear" w:color="auto" w:fill="FFFFFF"/>
        <w:rPr>
          <w:rFonts w:eastAsia="MS Mincho"/>
          <w:lang w:val="en-US" w:eastAsia="ja-JP"/>
        </w:rPr>
      </w:pPr>
      <w:r>
        <w:rPr>
          <w:rFonts w:eastAsia="MS Mincho"/>
          <w:lang w:val="en-US" w:eastAsia="ja-JP"/>
        </w:rPr>
        <w:t>In last RAN4 meeting, the need to capture in the NTN TSs some key simulation assumptions was initially discussed. We are further discussing this aspect, motivating our proposal.</w:t>
      </w:r>
    </w:p>
    <w:bookmarkEnd w:id="2"/>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7E180ADD" w14:textId="356DE98F" w:rsidR="00954EEF" w:rsidRDefault="00954EEF" w:rsidP="00954EEF">
      <w:pPr>
        <w:rPr>
          <w:lang w:val="en-GB" w:eastAsia="zh-CN"/>
        </w:rPr>
      </w:pPr>
      <w:r>
        <w:rPr>
          <w:lang w:val="en-GB" w:eastAsia="zh-CN"/>
        </w:rPr>
        <w:t>In last RAN4#101-bis-e (</w:t>
      </w:r>
      <w:r w:rsidR="00543995">
        <w:rPr>
          <w:highlight w:val="yellow"/>
          <w:lang w:val="en-GB" w:eastAsia="zh-CN"/>
        </w:rPr>
        <w:fldChar w:fldCharType="begin"/>
      </w:r>
      <w:r w:rsidR="00543995">
        <w:rPr>
          <w:lang w:val="en-GB" w:eastAsia="zh-CN"/>
        </w:rPr>
        <w:instrText xml:space="preserve"> REF _Ref95579112 \r \h </w:instrText>
      </w:r>
      <w:r w:rsidR="00543995">
        <w:rPr>
          <w:highlight w:val="yellow"/>
          <w:lang w:val="en-GB" w:eastAsia="zh-CN"/>
        </w:rPr>
      </w:r>
      <w:r w:rsidR="00543995">
        <w:rPr>
          <w:highlight w:val="yellow"/>
          <w:lang w:val="en-GB" w:eastAsia="zh-CN"/>
        </w:rPr>
        <w:fldChar w:fldCharType="separate"/>
      </w:r>
      <w:r w:rsidR="000811FD">
        <w:rPr>
          <w:lang w:val="en-GB" w:eastAsia="zh-CN"/>
        </w:rPr>
        <w:t>[3]</w:t>
      </w:r>
      <w:r w:rsidR="00543995">
        <w:rPr>
          <w:highlight w:val="yellow"/>
          <w:lang w:val="en-GB" w:eastAsia="zh-CN"/>
        </w:rPr>
        <w:fldChar w:fldCharType="end"/>
      </w:r>
      <w:r>
        <w:rPr>
          <w:lang w:val="en-GB" w:eastAsia="zh-CN"/>
        </w:rPr>
        <w:t xml:space="preserve">), RAN4 agreed to consider an isolation area for the case 1 of the coexistence simulations. Such isolation area was needed to consider acceptable level for the NTN UE ACS limit, considering also a NTN UE should never connect when there is TN coverage. </w:t>
      </w:r>
    </w:p>
    <w:p w14:paraId="07AA701E" w14:textId="6283D839" w:rsidR="00954EEF" w:rsidRDefault="00D94E0A" w:rsidP="00954EEF">
      <w:pPr>
        <w:rPr>
          <w:lang w:val="en-GB" w:eastAsia="zh-CN"/>
        </w:rPr>
      </w:pPr>
      <w:r>
        <w:rPr>
          <w:lang w:val="en-GB" w:eastAsia="zh-CN"/>
        </w:rPr>
        <w:t xml:space="preserve">It should be noted that there is no </w:t>
      </w:r>
      <w:r w:rsidR="001F1664">
        <w:rPr>
          <w:lang w:val="en-GB" w:eastAsia="zh-CN"/>
        </w:rPr>
        <w:t xml:space="preserve">3GPP </w:t>
      </w:r>
      <w:r>
        <w:rPr>
          <w:lang w:val="en-GB" w:eastAsia="zh-CN"/>
        </w:rPr>
        <w:t>procedure to guarantee this</w:t>
      </w:r>
      <w:r w:rsidR="001F1664">
        <w:rPr>
          <w:lang w:val="en-GB" w:eastAsia="zh-CN"/>
        </w:rPr>
        <w:t xml:space="preserve"> in Rel-17: even if the probability is low, a NTN UE would still be able to connect to a SAN even if located in the coverage area of an adjacent TN.</w:t>
      </w:r>
    </w:p>
    <w:p w14:paraId="19FC7A6A" w14:textId="67A2F7DC" w:rsidR="001F1664" w:rsidRPr="00EF4E45" w:rsidRDefault="001F1664" w:rsidP="00954EEF">
      <w:pPr>
        <w:rPr>
          <w:b/>
          <w:bCs/>
          <w:lang w:val="en-GB" w:eastAsia="zh-CN"/>
        </w:rPr>
      </w:pPr>
      <w:r w:rsidRPr="00EF4E45">
        <w:rPr>
          <w:b/>
          <w:bCs/>
          <w:lang w:val="en-GB" w:eastAsia="zh-CN"/>
        </w:rPr>
        <w:t>Observation1: There is no procedure to guarantee a NTN UE will not connect to a SAN when there is adjacent TN coverage.</w:t>
      </w:r>
    </w:p>
    <w:p w14:paraId="148AF51A" w14:textId="76E1A8E1" w:rsidR="001F1664" w:rsidRDefault="001F1664" w:rsidP="00954EEF">
      <w:pPr>
        <w:rPr>
          <w:lang w:val="en-GB" w:eastAsia="zh-CN"/>
        </w:rPr>
      </w:pPr>
      <w:r>
        <w:rPr>
          <w:lang w:val="en-GB" w:eastAsia="zh-CN"/>
        </w:rPr>
        <w:t xml:space="preserve">In the coexistence simulation assumptions </w:t>
      </w:r>
      <w:r>
        <w:rPr>
          <w:lang w:val="en-GB" w:eastAsia="zh-CN"/>
        </w:rPr>
        <w:fldChar w:fldCharType="begin"/>
      </w:r>
      <w:r>
        <w:rPr>
          <w:lang w:val="en-GB" w:eastAsia="zh-CN"/>
        </w:rPr>
        <w:instrText xml:space="preserve"> REF _Ref95577973 \r \h </w:instrText>
      </w:r>
      <w:r>
        <w:rPr>
          <w:lang w:val="en-GB" w:eastAsia="zh-CN"/>
        </w:rPr>
      </w:r>
      <w:r>
        <w:rPr>
          <w:lang w:val="en-GB" w:eastAsia="zh-CN"/>
        </w:rPr>
        <w:fldChar w:fldCharType="separate"/>
      </w:r>
      <w:r w:rsidR="000811FD">
        <w:rPr>
          <w:lang w:val="en-GB" w:eastAsia="zh-CN"/>
        </w:rPr>
        <w:t>[4]</w:t>
      </w:r>
      <w:r>
        <w:rPr>
          <w:lang w:val="en-GB" w:eastAsia="zh-CN"/>
        </w:rPr>
        <w:fldChar w:fldCharType="end"/>
      </w:r>
      <w:r>
        <w:rPr>
          <w:lang w:val="en-GB" w:eastAsia="zh-CN"/>
        </w:rPr>
        <w:t xml:space="preserve">, for all considered cases, the NTN UEs have always been dropped at the </w:t>
      </w:r>
      <w:r w:rsidR="007B5862">
        <w:rPr>
          <w:lang w:val="en-GB" w:eastAsia="zh-CN"/>
        </w:rPr>
        <w:t xml:space="preserve">adjacent </w:t>
      </w:r>
      <w:r>
        <w:rPr>
          <w:lang w:val="en-GB" w:eastAsia="zh-CN"/>
        </w:rPr>
        <w:t>TN clusters edge or outside the TN clusters. Moreover, for case 1, it was agreed (</w:t>
      </w:r>
      <w:r w:rsidR="00543995">
        <w:rPr>
          <w:lang w:val="en-GB" w:eastAsia="zh-CN"/>
        </w:rPr>
        <w:fldChar w:fldCharType="begin"/>
      </w:r>
      <w:r w:rsidR="00543995">
        <w:rPr>
          <w:lang w:val="en-GB" w:eastAsia="zh-CN"/>
        </w:rPr>
        <w:instrText xml:space="preserve"> REF _Ref95579125 \r \h </w:instrText>
      </w:r>
      <w:r w:rsidR="00543995">
        <w:rPr>
          <w:lang w:val="en-GB" w:eastAsia="zh-CN"/>
        </w:rPr>
      </w:r>
      <w:r w:rsidR="00543995">
        <w:rPr>
          <w:lang w:val="en-GB" w:eastAsia="zh-CN"/>
        </w:rPr>
        <w:fldChar w:fldCharType="separate"/>
      </w:r>
      <w:r w:rsidR="000811FD">
        <w:rPr>
          <w:lang w:val="en-GB" w:eastAsia="zh-CN"/>
        </w:rPr>
        <w:t>[5]</w:t>
      </w:r>
      <w:r w:rsidR="00543995">
        <w:rPr>
          <w:lang w:val="en-GB" w:eastAsia="zh-CN"/>
        </w:rPr>
        <w:fldChar w:fldCharType="end"/>
      </w:r>
      <w:r>
        <w:rPr>
          <w:lang w:val="en-GB" w:eastAsia="zh-CN"/>
        </w:rPr>
        <w:t>) to consider an isolation distance from the TN cell boarder to the first possible location of a NTN UE.</w:t>
      </w:r>
    </w:p>
    <w:p w14:paraId="34BF7DE3" w14:textId="0A514FDE" w:rsidR="001F1664" w:rsidRPr="00EF4E45" w:rsidRDefault="001F1664" w:rsidP="00954EEF">
      <w:pPr>
        <w:rPr>
          <w:b/>
          <w:bCs/>
          <w:lang w:val="en-GB" w:eastAsia="zh-CN"/>
        </w:rPr>
      </w:pPr>
      <w:r w:rsidRPr="00EF4E45">
        <w:rPr>
          <w:b/>
          <w:bCs/>
          <w:lang w:val="en-GB" w:eastAsia="zh-CN"/>
        </w:rPr>
        <w:t>Observation2: For all cases, the coexistence simulations have always assumed that the NTN UEs will be either dropped at the TN clusters edge or with an isolation distance from this edge.</w:t>
      </w:r>
    </w:p>
    <w:p w14:paraId="0639FDA3" w14:textId="190E9FC9" w:rsidR="001F1664" w:rsidRDefault="001F1664" w:rsidP="00954EEF">
      <w:pPr>
        <w:rPr>
          <w:lang w:val="en-GB" w:eastAsia="zh-CN"/>
        </w:rPr>
      </w:pPr>
      <w:r>
        <w:rPr>
          <w:lang w:val="en-GB" w:eastAsia="zh-CN"/>
        </w:rPr>
        <w:t xml:space="preserve">Based on those observations, we consider this is key to capture such major assumption in the NTN satellite TSs to avoid any ambiguity </w:t>
      </w:r>
      <w:r w:rsidR="00E470EC">
        <w:rPr>
          <w:lang w:val="en-GB" w:eastAsia="zh-CN"/>
        </w:rPr>
        <w:t>in the future. The specified limits in those TSs would guarantee NTN satellite network performance under those assumptions only, that should be stated very clearly.</w:t>
      </w:r>
    </w:p>
    <w:p w14:paraId="79B64AFA" w14:textId="0C4CFAFE" w:rsidR="001F1664" w:rsidRPr="00EF4E45" w:rsidRDefault="008805DD" w:rsidP="00954EEF">
      <w:pPr>
        <w:rPr>
          <w:b/>
          <w:bCs/>
          <w:lang w:val="en-GB" w:eastAsia="zh-CN"/>
        </w:rPr>
      </w:pPr>
      <w:r w:rsidRPr="00EF4E45">
        <w:rPr>
          <w:b/>
          <w:bCs/>
          <w:lang w:val="en-GB" w:eastAsia="zh-CN"/>
        </w:rPr>
        <w:t xml:space="preserve">Proposal1: Capture the following note in TS 38.108 and TS 38.101-5: </w:t>
      </w:r>
    </w:p>
    <w:p w14:paraId="2A75B7B3" w14:textId="1323679B" w:rsidR="00CA25E1" w:rsidRDefault="00543995" w:rsidP="000C3713">
      <w:pPr>
        <w:ind w:left="720"/>
        <w:rPr>
          <w:b/>
          <w:bCs/>
          <w:lang w:val="en-GB" w:eastAsia="zh-CN"/>
        </w:rPr>
      </w:pPr>
      <w:r w:rsidRPr="00EF4E45">
        <w:rPr>
          <w:b/>
          <w:bCs/>
          <w:lang w:val="en-US"/>
        </w:rPr>
        <w:t>Note: NTN operation is assumed to be outside a</w:t>
      </w:r>
      <w:r w:rsidR="007B5862">
        <w:rPr>
          <w:b/>
          <w:bCs/>
          <w:lang w:val="en-US"/>
        </w:rPr>
        <w:t xml:space="preserve"> </w:t>
      </w:r>
      <w:r w:rsidRPr="00EF4E45">
        <w:rPr>
          <w:b/>
          <w:bCs/>
          <w:lang w:val="en-US"/>
        </w:rPr>
        <w:t>Terrestrial Network</w:t>
      </w:r>
      <w:r w:rsidR="00CA25E1">
        <w:rPr>
          <w:b/>
          <w:bCs/>
          <w:lang w:val="en-US"/>
        </w:rPr>
        <w:t xml:space="preserve"> operating in an adjacent </w:t>
      </w:r>
      <w:r w:rsidR="00DF30BF">
        <w:rPr>
          <w:b/>
          <w:bCs/>
          <w:lang w:val="en-US"/>
        </w:rPr>
        <w:t>channel/</w:t>
      </w:r>
      <w:r w:rsidR="00CA25E1">
        <w:rPr>
          <w:b/>
          <w:bCs/>
          <w:lang w:val="en-US"/>
        </w:rPr>
        <w:t>ban</w:t>
      </w:r>
      <w:r w:rsidR="000C3713">
        <w:rPr>
          <w:b/>
          <w:bCs/>
          <w:lang w:val="en-US"/>
        </w:rPr>
        <w:t>d</w:t>
      </w:r>
      <w:r w:rsidRPr="00EF4E45">
        <w:rPr>
          <w:b/>
          <w:bCs/>
          <w:lang w:val="en-US"/>
        </w:rPr>
        <w:t>.</w:t>
      </w:r>
    </w:p>
    <w:p w14:paraId="4421F56E" w14:textId="50641490" w:rsidR="008805DD" w:rsidRDefault="008805DD" w:rsidP="00954EEF">
      <w:pPr>
        <w:rPr>
          <w:lang w:val="en-GB" w:eastAsia="zh-CN"/>
        </w:rPr>
      </w:pPr>
      <w:r>
        <w:rPr>
          <w:lang w:val="en-GB" w:eastAsia="zh-CN"/>
        </w:rPr>
        <w:t>Following this proposal, we have also proposed to capture this additional note in the scope subclause of TS 38.108 (</w:t>
      </w:r>
      <w:r w:rsidR="00543995">
        <w:rPr>
          <w:lang w:val="en-GB" w:eastAsia="zh-CN"/>
        </w:rPr>
        <w:fldChar w:fldCharType="begin"/>
      </w:r>
      <w:r w:rsidR="00543995">
        <w:rPr>
          <w:lang w:val="en-GB" w:eastAsia="zh-CN"/>
        </w:rPr>
        <w:instrText xml:space="preserve"> REF _Ref95579221 \r \h </w:instrText>
      </w:r>
      <w:r w:rsidR="00543995">
        <w:rPr>
          <w:lang w:val="en-GB" w:eastAsia="zh-CN"/>
        </w:rPr>
      </w:r>
      <w:r w:rsidR="00543995">
        <w:rPr>
          <w:lang w:val="en-GB" w:eastAsia="zh-CN"/>
        </w:rPr>
        <w:fldChar w:fldCharType="separate"/>
      </w:r>
      <w:r w:rsidR="000811FD">
        <w:rPr>
          <w:lang w:val="en-GB" w:eastAsia="zh-CN"/>
        </w:rPr>
        <w:t>[6]</w:t>
      </w:r>
      <w:r w:rsidR="00543995">
        <w:rPr>
          <w:lang w:val="en-GB" w:eastAsia="zh-CN"/>
        </w:rPr>
        <w:fldChar w:fldCharType="end"/>
      </w:r>
      <w:r>
        <w:rPr>
          <w:lang w:val="en-GB" w:eastAsia="zh-CN"/>
        </w:rPr>
        <w:t>) and TS 38.101-1 (</w:t>
      </w:r>
      <w:r w:rsidR="00543995">
        <w:rPr>
          <w:lang w:val="en-GB" w:eastAsia="zh-CN"/>
        </w:rPr>
        <w:fldChar w:fldCharType="begin"/>
      </w:r>
      <w:r w:rsidR="00543995">
        <w:rPr>
          <w:lang w:val="en-GB" w:eastAsia="zh-CN"/>
        </w:rPr>
        <w:instrText xml:space="preserve"> REF _Ref95579231 \r \h </w:instrText>
      </w:r>
      <w:r w:rsidR="00543995">
        <w:rPr>
          <w:lang w:val="en-GB" w:eastAsia="zh-CN"/>
        </w:rPr>
      </w:r>
      <w:r w:rsidR="00543995">
        <w:rPr>
          <w:lang w:val="en-GB" w:eastAsia="zh-CN"/>
        </w:rPr>
        <w:fldChar w:fldCharType="separate"/>
      </w:r>
      <w:r w:rsidR="000811FD">
        <w:rPr>
          <w:lang w:val="en-GB" w:eastAsia="zh-CN"/>
        </w:rPr>
        <w:t>[7]</w:t>
      </w:r>
      <w:r w:rsidR="00543995">
        <w:rPr>
          <w:lang w:val="en-GB" w:eastAsia="zh-CN"/>
        </w:rPr>
        <w:fldChar w:fldCharType="end"/>
      </w:r>
      <w:r>
        <w:rPr>
          <w:lang w:val="en-GB" w:eastAsia="zh-CN"/>
        </w:rPr>
        <w:t xml:space="preserve">). </w:t>
      </w:r>
    </w:p>
    <w:p w14:paraId="10BF542C" w14:textId="53D769A9" w:rsidR="008805DD" w:rsidRDefault="008805DD" w:rsidP="00954EEF">
      <w:pPr>
        <w:rPr>
          <w:lang w:val="en-GB" w:eastAsia="zh-CN"/>
        </w:rPr>
      </w:pPr>
      <w:r>
        <w:rPr>
          <w:lang w:val="en-GB" w:eastAsia="zh-CN"/>
        </w:rPr>
        <w:t>Another option would be to capture this note in the Tx general subclause and Rx ACS subclause as those requirements were agreed based on the coexistence simulations, but we welcome any other proposal</w:t>
      </w:r>
      <w:r w:rsidR="00B04A0E">
        <w:rPr>
          <w:lang w:val="en-GB" w:eastAsia="zh-CN"/>
        </w:rPr>
        <w:t xml:space="preserve"> on which  sub-clause(s) to capture this note</w:t>
      </w:r>
      <w:r>
        <w:rPr>
          <w:lang w:val="en-GB" w:eastAsia="zh-CN"/>
        </w:rPr>
        <w:t>.</w:t>
      </w:r>
    </w:p>
    <w:p w14:paraId="55C05D53" w14:textId="0A3BE2D9" w:rsidR="008805DD" w:rsidRPr="00EF4E45" w:rsidRDefault="00EF4E45" w:rsidP="00954EEF">
      <w:pPr>
        <w:rPr>
          <w:b/>
          <w:bCs/>
          <w:lang w:val="en-GB" w:eastAsia="zh-CN"/>
        </w:rPr>
      </w:pPr>
      <w:r w:rsidRPr="00EF4E45">
        <w:rPr>
          <w:b/>
          <w:bCs/>
          <w:lang w:val="en-GB" w:eastAsia="zh-CN"/>
        </w:rPr>
        <w:t xml:space="preserve">Proposal2: Capture the above note in the scope </w:t>
      </w:r>
      <w:r w:rsidR="007B5862">
        <w:rPr>
          <w:b/>
          <w:bCs/>
          <w:lang w:val="en-GB" w:eastAsia="zh-CN"/>
        </w:rPr>
        <w:t xml:space="preserve">sub-clause </w:t>
      </w:r>
      <w:r w:rsidRPr="00EF4E45">
        <w:rPr>
          <w:b/>
          <w:bCs/>
          <w:lang w:val="en-GB" w:eastAsia="zh-CN"/>
        </w:rPr>
        <w:t>of TS 38.108 and TS 38.101-1.</w:t>
      </w: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1A77318D" w14:textId="7BE7EFE7" w:rsidR="00EB476E" w:rsidRDefault="00744830" w:rsidP="00EB476E">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0470EA" w:rsidRPr="007C7160">
        <w:rPr>
          <w:lang w:val="en-US"/>
        </w:rPr>
        <w:t xml:space="preserve">further </w:t>
      </w:r>
      <w:r w:rsidR="00DE5229" w:rsidRPr="007C7160">
        <w:rPr>
          <w:lang w:val="en-US"/>
        </w:rPr>
        <w:t>discussed</w:t>
      </w:r>
      <w:r w:rsidR="007B66CE" w:rsidRPr="007C7160">
        <w:rPr>
          <w:lang w:val="en-US"/>
        </w:rPr>
        <w:t xml:space="preserve"> </w:t>
      </w:r>
      <w:r w:rsidR="00EF4E45">
        <w:rPr>
          <w:lang w:val="en-US"/>
        </w:rPr>
        <w:t>to add a note in TS 38.108 and TS 38.101-5 which will clarify the assumption for the SAN and NTN satellite UE requirements. We made the following observations and proposals:</w:t>
      </w:r>
    </w:p>
    <w:p w14:paraId="7B4839D8" w14:textId="77777777" w:rsidR="00EF4E45" w:rsidRPr="00EF4E45" w:rsidRDefault="00EF4E45" w:rsidP="00EF4E45">
      <w:pPr>
        <w:rPr>
          <w:b/>
          <w:bCs/>
          <w:lang w:val="en-GB" w:eastAsia="zh-CN"/>
        </w:rPr>
      </w:pPr>
      <w:r w:rsidRPr="00EF4E45">
        <w:rPr>
          <w:b/>
          <w:bCs/>
          <w:lang w:val="en-GB" w:eastAsia="zh-CN"/>
        </w:rPr>
        <w:t>Observation1: There is no procedure to guarantee a NTN UE will not connect to a SAN when there is adjacent TN coverage.</w:t>
      </w:r>
    </w:p>
    <w:p w14:paraId="5CC3EF31" w14:textId="77777777" w:rsidR="00EF4E45" w:rsidRPr="00EF4E45" w:rsidRDefault="00EF4E45" w:rsidP="00EF4E45">
      <w:pPr>
        <w:rPr>
          <w:b/>
          <w:bCs/>
          <w:lang w:val="en-GB" w:eastAsia="zh-CN"/>
        </w:rPr>
      </w:pPr>
      <w:r w:rsidRPr="00EF4E45">
        <w:rPr>
          <w:b/>
          <w:bCs/>
          <w:lang w:val="en-GB" w:eastAsia="zh-CN"/>
        </w:rPr>
        <w:t>Observation2: For all cases, the coexistence simulations have always assumed that the NTN UEs will be either dropped at the TN clusters edge or with an isolation distance from this edge.</w:t>
      </w:r>
    </w:p>
    <w:p w14:paraId="7FE33413" w14:textId="77777777" w:rsidR="00EF4E45" w:rsidRPr="00EF4E45" w:rsidRDefault="00EF4E45" w:rsidP="00EF4E45">
      <w:pPr>
        <w:rPr>
          <w:b/>
          <w:bCs/>
          <w:lang w:val="en-GB" w:eastAsia="zh-CN"/>
        </w:rPr>
      </w:pPr>
      <w:r w:rsidRPr="00EF4E45">
        <w:rPr>
          <w:b/>
          <w:bCs/>
          <w:lang w:val="en-GB" w:eastAsia="zh-CN"/>
        </w:rPr>
        <w:t xml:space="preserve">Proposal1: Capture the following note in TS 38.108 and TS 38.101-5: </w:t>
      </w:r>
    </w:p>
    <w:p w14:paraId="2D509F6D" w14:textId="2A0C420E" w:rsidR="000C3713" w:rsidRDefault="000C3713" w:rsidP="000C3713">
      <w:pPr>
        <w:ind w:left="720"/>
        <w:rPr>
          <w:b/>
          <w:bCs/>
          <w:lang w:val="en-GB" w:eastAsia="zh-CN"/>
        </w:rPr>
      </w:pPr>
      <w:r w:rsidRPr="00EF4E45">
        <w:rPr>
          <w:b/>
          <w:bCs/>
          <w:lang w:val="en-US"/>
        </w:rPr>
        <w:t>Note: NTN operation is assumed to be outside a</w:t>
      </w:r>
      <w:r>
        <w:rPr>
          <w:b/>
          <w:bCs/>
          <w:lang w:val="en-US"/>
        </w:rPr>
        <w:t xml:space="preserve"> </w:t>
      </w:r>
      <w:r w:rsidRPr="00EF4E45">
        <w:rPr>
          <w:b/>
          <w:bCs/>
          <w:lang w:val="en-US"/>
        </w:rPr>
        <w:t>Terrestrial Network</w:t>
      </w:r>
      <w:r>
        <w:rPr>
          <w:b/>
          <w:bCs/>
          <w:lang w:val="en-US"/>
        </w:rPr>
        <w:t xml:space="preserve"> operating in an adjacent </w:t>
      </w:r>
      <w:r w:rsidR="00F53F4C">
        <w:rPr>
          <w:b/>
          <w:bCs/>
          <w:lang w:val="en-US"/>
        </w:rPr>
        <w:t>channel/</w:t>
      </w:r>
      <w:r>
        <w:rPr>
          <w:b/>
          <w:bCs/>
          <w:lang w:val="en-US"/>
        </w:rPr>
        <w:t>band</w:t>
      </w:r>
      <w:r w:rsidRPr="00EF4E45">
        <w:rPr>
          <w:b/>
          <w:bCs/>
          <w:lang w:val="en-US"/>
        </w:rPr>
        <w:t>.</w:t>
      </w:r>
    </w:p>
    <w:p w14:paraId="6CA128A0" w14:textId="77777777" w:rsidR="00613362" w:rsidRPr="00EF4E45" w:rsidRDefault="00613362" w:rsidP="00613362">
      <w:pPr>
        <w:rPr>
          <w:b/>
          <w:bCs/>
          <w:lang w:val="en-GB" w:eastAsia="zh-CN"/>
        </w:rPr>
      </w:pPr>
      <w:r w:rsidRPr="00EF4E45">
        <w:rPr>
          <w:b/>
          <w:bCs/>
          <w:lang w:val="en-GB" w:eastAsia="zh-CN"/>
        </w:rPr>
        <w:t xml:space="preserve">Proposal2: Capture the above note in the scope </w:t>
      </w:r>
      <w:r>
        <w:rPr>
          <w:b/>
          <w:bCs/>
          <w:lang w:val="en-GB" w:eastAsia="zh-CN"/>
        </w:rPr>
        <w:t xml:space="preserve">sub-clause </w:t>
      </w:r>
      <w:r w:rsidRPr="00EF4E45">
        <w:rPr>
          <w:b/>
          <w:bCs/>
          <w:lang w:val="en-GB" w:eastAsia="zh-CN"/>
        </w:rPr>
        <w:t>of TS 38.108 and TS 38.101-1.</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7C7160" w:rsidRDefault="00974B3A" w:rsidP="00974B3A">
      <w:pPr>
        <w:numPr>
          <w:ilvl w:val="0"/>
          <w:numId w:val="9"/>
        </w:numPr>
        <w:rPr>
          <w:bCs/>
          <w:lang w:val="en-US"/>
        </w:rPr>
      </w:pPr>
      <w:bookmarkStart w:id="3" w:name="_Ref71297840"/>
      <w:r w:rsidRPr="007C7160">
        <w:rPr>
          <w:lang w:val="en-US"/>
        </w:rPr>
        <w:t>RP-201256, Solutions for NR to support non-terrestrial networks (NTN), Thales</w:t>
      </w:r>
      <w:bookmarkEnd w:id="3"/>
      <w:r w:rsidRPr="007C7160">
        <w:rPr>
          <w:lang w:val="en-US"/>
        </w:rPr>
        <w:t xml:space="preserve"> </w:t>
      </w:r>
    </w:p>
    <w:p w14:paraId="33347ACA" w14:textId="26011AB6" w:rsidR="00C56E50" w:rsidRPr="001F1664" w:rsidRDefault="00C56E50" w:rsidP="00C56E50">
      <w:pPr>
        <w:numPr>
          <w:ilvl w:val="0"/>
          <w:numId w:val="9"/>
        </w:numPr>
        <w:rPr>
          <w:bCs/>
          <w:lang w:val="en-US"/>
        </w:rPr>
      </w:pPr>
      <w:bookmarkStart w:id="4" w:name="_Ref61295180"/>
      <w:r w:rsidRPr="00C647B4">
        <w:rPr>
          <w:lang w:val="en-US"/>
        </w:rPr>
        <w:t>RP-2</w:t>
      </w:r>
      <w:r w:rsidR="00A55351">
        <w:rPr>
          <w:lang w:val="en-US"/>
        </w:rPr>
        <w:t>1</w:t>
      </w:r>
      <w:r w:rsidR="006D00A4">
        <w:rPr>
          <w:lang w:val="en-US"/>
        </w:rPr>
        <w:t>3691</w:t>
      </w:r>
      <w:r w:rsidRPr="00C647B4">
        <w:rPr>
          <w:lang w:val="en-US"/>
        </w:rPr>
        <w:t xml:space="preserve">, </w:t>
      </w:r>
      <w:r w:rsidRPr="00D130F7">
        <w:rPr>
          <w:lang w:val="en-US"/>
        </w:rPr>
        <w:t>Solutions for NR to support non-terrestrial networks (NTN), Thales</w:t>
      </w:r>
      <w:bookmarkEnd w:id="4"/>
      <w:r w:rsidRPr="00C647B4">
        <w:rPr>
          <w:lang w:val="en-US"/>
        </w:rPr>
        <w:t xml:space="preserve"> </w:t>
      </w:r>
    </w:p>
    <w:p w14:paraId="136A8991" w14:textId="44CEC4EB" w:rsidR="001F1664" w:rsidRPr="00543995" w:rsidRDefault="001F1664" w:rsidP="00C56E50">
      <w:pPr>
        <w:numPr>
          <w:ilvl w:val="0"/>
          <w:numId w:val="9"/>
        </w:numPr>
        <w:rPr>
          <w:lang w:val="en-US"/>
        </w:rPr>
      </w:pPr>
      <w:bookmarkStart w:id="5" w:name="_Ref95579112"/>
      <w:r>
        <w:rPr>
          <w:lang w:val="en-US"/>
        </w:rPr>
        <w:t>R4-</w:t>
      </w:r>
      <w:r w:rsidR="00543995">
        <w:rPr>
          <w:lang w:val="en-US"/>
        </w:rPr>
        <w:t xml:space="preserve">2203112, </w:t>
      </w:r>
      <w:r w:rsidR="00543995" w:rsidRPr="00543995">
        <w:rPr>
          <w:rFonts w:hint="eastAsia"/>
          <w:lang w:val="en-US"/>
        </w:rPr>
        <w:t xml:space="preserve">Email discussion summary for </w:t>
      </w:r>
      <w:r w:rsidR="00543995" w:rsidRPr="00543995">
        <w:rPr>
          <w:lang w:val="en-US"/>
        </w:rPr>
        <w:t>[101-bis-e][307] NTN_Solutions_Part2, Moderator(Samsung)</w:t>
      </w:r>
      <w:bookmarkEnd w:id="5"/>
    </w:p>
    <w:p w14:paraId="45442531" w14:textId="6EAD8699" w:rsidR="001F1664" w:rsidRPr="00543995" w:rsidRDefault="001F1664" w:rsidP="00C56E50">
      <w:pPr>
        <w:numPr>
          <w:ilvl w:val="0"/>
          <w:numId w:val="9"/>
        </w:numPr>
        <w:rPr>
          <w:bCs/>
          <w:lang w:val="en-US"/>
        </w:rPr>
      </w:pPr>
      <w:bookmarkStart w:id="6" w:name="_Ref95577973"/>
      <w:r>
        <w:rPr>
          <w:lang w:val="en-US"/>
        </w:rPr>
        <w:t xml:space="preserve">R4-2120671, </w:t>
      </w:r>
      <w:r w:rsidRPr="001F1664">
        <w:rPr>
          <w:rFonts w:hint="eastAsia"/>
          <w:lang w:val="en-US"/>
        </w:rPr>
        <w:t>Simulation</w:t>
      </w:r>
      <w:r w:rsidRPr="001F1664">
        <w:rPr>
          <w:lang w:val="en-US"/>
        </w:rPr>
        <w:t xml:space="preserve"> </w:t>
      </w:r>
      <w:r w:rsidRPr="001F1664">
        <w:rPr>
          <w:rFonts w:hint="eastAsia"/>
          <w:lang w:val="en-US"/>
        </w:rPr>
        <w:t>assumptions</w:t>
      </w:r>
      <w:r w:rsidRPr="001F1664">
        <w:rPr>
          <w:lang w:val="en-US"/>
        </w:rPr>
        <w:t xml:space="preserve"> for NTN co-existence study, Samsung, CATT</w:t>
      </w:r>
      <w:bookmarkEnd w:id="6"/>
    </w:p>
    <w:p w14:paraId="12118BC1" w14:textId="3680F454" w:rsidR="00543995" w:rsidRPr="00543995" w:rsidRDefault="00543995" w:rsidP="00C56E50">
      <w:pPr>
        <w:numPr>
          <w:ilvl w:val="0"/>
          <w:numId w:val="9"/>
        </w:numPr>
        <w:rPr>
          <w:bCs/>
          <w:lang w:val="en-US"/>
        </w:rPr>
      </w:pPr>
      <w:bookmarkStart w:id="7" w:name="_Ref95579125"/>
      <w:r>
        <w:rPr>
          <w:bCs/>
          <w:lang w:val="en-US"/>
        </w:rPr>
        <w:t xml:space="preserve">R4-2202990, </w:t>
      </w:r>
      <w:r>
        <w:t>WF on [307] NTN_Solutions_Part2, Samsung</w:t>
      </w:r>
    </w:p>
    <w:p w14:paraId="0C2A00E0" w14:textId="025809CC" w:rsidR="00543995" w:rsidRPr="00543995" w:rsidRDefault="00543995" w:rsidP="00C56E50">
      <w:pPr>
        <w:numPr>
          <w:ilvl w:val="0"/>
          <w:numId w:val="9"/>
        </w:numPr>
        <w:rPr>
          <w:bCs/>
          <w:lang w:val="en-US"/>
        </w:rPr>
      </w:pPr>
      <w:bookmarkStart w:id="8" w:name="_Ref95579221"/>
      <w:r>
        <w:t>R4-</w:t>
      </w:r>
      <w:r w:rsidRPr="0020559C">
        <w:t>220</w:t>
      </w:r>
      <w:r w:rsidR="0020559C" w:rsidRPr="0020559C">
        <w:t>5054</w:t>
      </w:r>
      <w:r>
        <w:t xml:space="preserve">, </w:t>
      </w:r>
      <w:r w:rsidRPr="00543995">
        <w:t>CR to TS 38.10</w:t>
      </w:r>
      <w:r>
        <w:t>8</w:t>
      </w:r>
      <w:r w:rsidRPr="00543995">
        <w:t xml:space="preserve"> </w:t>
      </w:r>
      <w:r>
        <w:t>–</w:t>
      </w:r>
      <w:r w:rsidRPr="00543995">
        <w:t xml:space="preserve"> Scope</w:t>
      </w:r>
      <w:r>
        <w:t>, Ericsson</w:t>
      </w:r>
      <w:bookmarkEnd w:id="8"/>
    </w:p>
    <w:p w14:paraId="4AF0652A" w14:textId="1660B8FE" w:rsidR="00543995" w:rsidRPr="00C647B4" w:rsidRDefault="00543995" w:rsidP="00C56E50">
      <w:pPr>
        <w:numPr>
          <w:ilvl w:val="0"/>
          <w:numId w:val="9"/>
        </w:numPr>
        <w:rPr>
          <w:bCs/>
          <w:lang w:val="en-US"/>
        </w:rPr>
      </w:pPr>
      <w:bookmarkStart w:id="9" w:name="_Ref95579231"/>
      <w:r>
        <w:t>R4-</w:t>
      </w:r>
      <w:r w:rsidRPr="0020559C">
        <w:t>220</w:t>
      </w:r>
      <w:r w:rsidR="0020559C" w:rsidRPr="0020559C">
        <w:t>5052</w:t>
      </w:r>
      <w:r>
        <w:t xml:space="preserve">, </w:t>
      </w:r>
      <w:r w:rsidRPr="00543995">
        <w:t xml:space="preserve">CR to TS 38.101-5 </w:t>
      </w:r>
      <w:r>
        <w:t>–</w:t>
      </w:r>
      <w:r w:rsidRPr="00543995">
        <w:t xml:space="preserve"> Scope</w:t>
      </w:r>
      <w:r>
        <w:t>, Ericsson</w:t>
      </w:r>
      <w:bookmarkEnd w:id="9"/>
    </w:p>
    <w:bookmarkEnd w:id="7"/>
    <w:p w14:paraId="4BCA6446" w14:textId="77777777" w:rsidR="00AE3571" w:rsidRPr="007A1680" w:rsidRDefault="00AE3571" w:rsidP="0093068D">
      <w:pPr>
        <w:ind w:left="405"/>
        <w:rPr>
          <w:lang w:val="en-US" w:eastAsia="ja-JP"/>
        </w:rPr>
      </w:pPr>
    </w:p>
    <w:sectPr w:rsidR="00AE3571" w:rsidRPr="007A16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44CB" w14:textId="77777777" w:rsidR="00F622CF" w:rsidRDefault="00F622CF">
      <w:r>
        <w:separator/>
      </w:r>
    </w:p>
  </w:endnote>
  <w:endnote w:type="continuationSeparator" w:id="0">
    <w:p w14:paraId="6C62E698" w14:textId="77777777" w:rsidR="00F622CF" w:rsidRDefault="00F6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BB19" w14:textId="77777777" w:rsidR="00F622CF" w:rsidRDefault="00F622CF">
      <w:r>
        <w:separator/>
      </w:r>
    </w:p>
  </w:footnote>
  <w:footnote w:type="continuationSeparator" w:id="0">
    <w:p w14:paraId="2C070DCE" w14:textId="77777777" w:rsidR="00F622CF" w:rsidRDefault="00F62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3"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0"/>
  </w:num>
  <w:num w:numId="4">
    <w:abstractNumId w:val="1"/>
  </w:num>
  <w:num w:numId="5">
    <w:abstractNumId w:val="13"/>
  </w:num>
  <w:num w:numId="6">
    <w:abstractNumId w:val="11"/>
  </w:num>
  <w:num w:numId="7">
    <w:abstractNumId w:val="8"/>
  </w:num>
  <w:num w:numId="8">
    <w:abstractNumId w:val="14"/>
  </w:num>
  <w:num w:numId="9">
    <w:abstractNumId w:val="22"/>
  </w:num>
  <w:num w:numId="10">
    <w:abstractNumId w:val="17"/>
  </w:num>
  <w:num w:numId="11">
    <w:abstractNumId w:val="9"/>
  </w:num>
  <w:num w:numId="12">
    <w:abstractNumId w:val="18"/>
  </w:num>
  <w:num w:numId="13">
    <w:abstractNumId w:val="21"/>
  </w:num>
  <w:num w:numId="14">
    <w:abstractNumId w:val="2"/>
  </w:num>
  <w:num w:numId="15">
    <w:abstractNumId w:val="3"/>
  </w:num>
  <w:num w:numId="16">
    <w:abstractNumId w:val="16"/>
  </w:num>
  <w:num w:numId="17">
    <w:abstractNumId w:val="5"/>
  </w:num>
  <w:num w:numId="18">
    <w:abstractNumId w:val="15"/>
  </w:num>
  <w:num w:numId="19">
    <w:abstractNumId w:val="19"/>
  </w:num>
  <w:num w:numId="20">
    <w:abstractNumId w:val="0"/>
  </w:num>
  <w:num w:numId="21">
    <w:abstractNumId w:val="23"/>
  </w:num>
  <w:num w:numId="22">
    <w:abstractNumId w:val="4"/>
  </w:num>
  <w:num w:numId="23">
    <w:abstractNumId w:val="12"/>
  </w:num>
  <w:num w:numId="2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B72"/>
    <w:rsid w:val="000156CA"/>
    <w:rsid w:val="00015CE9"/>
    <w:rsid w:val="00016474"/>
    <w:rsid w:val="00016FD0"/>
    <w:rsid w:val="00017709"/>
    <w:rsid w:val="000178BD"/>
    <w:rsid w:val="00017E3D"/>
    <w:rsid w:val="0002004F"/>
    <w:rsid w:val="000203E9"/>
    <w:rsid w:val="000207DA"/>
    <w:rsid w:val="000223F2"/>
    <w:rsid w:val="000226E5"/>
    <w:rsid w:val="00022714"/>
    <w:rsid w:val="00022F7D"/>
    <w:rsid w:val="000237F0"/>
    <w:rsid w:val="00023B6C"/>
    <w:rsid w:val="000248DC"/>
    <w:rsid w:val="00024F13"/>
    <w:rsid w:val="00025ABE"/>
    <w:rsid w:val="00025F33"/>
    <w:rsid w:val="00026581"/>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106C"/>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1888"/>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890"/>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744"/>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5FE"/>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0EBD"/>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16"/>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59C"/>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23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70060"/>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76"/>
    <w:rsid w:val="003929B7"/>
    <w:rsid w:val="003931C8"/>
    <w:rsid w:val="0039492C"/>
    <w:rsid w:val="00394C30"/>
    <w:rsid w:val="00394E75"/>
    <w:rsid w:val="00394FB4"/>
    <w:rsid w:val="0039634D"/>
    <w:rsid w:val="00396DE8"/>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D4A"/>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494"/>
    <w:rsid w:val="00431D7D"/>
    <w:rsid w:val="00432191"/>
    <w:rsid w:val="00433363"/>
    <w:rsid w:val="00433AD2"/>
    <w:rsid w:val="00433EA5"/>
    <w:rsid w:val="00433FBA"/>
    <w:rsid w:val="004342E4"/>
    <w:rsid w:val="004357CB"/>
    <w:rsid w:val="00436872"/>
    <w:rsid w:val="00436B5E"/>
    <w:rsid w:val="00437302"/>
    <w:rsid w:val="00437566"/>
    <w:rsid w:val="00437E2F"/>
    <w:rsid w:val="0044000F"/>
    <w:rsid w:val="0044045A"/>
    <w:rsid w:val="00440557"/>
    <w:rsid w:val="00440694"/>
    <w:rsid w:val="00440892"/>
    <w:rsid w:val="00440A73"/>
    <w:rsid w:val="004418D0"/>
    <w:rsid w:val="0044191B"/>
    <w:rsid w:val="0044249D"/>
    <w:rsid w:val="00442700"/>
    <w:rsid w:val="00442746"/>
    <w:rsid w:val="00442848"/>
    <w:rsid w:val="004429B3"/>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C73"/>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DAA"/>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4CD8"/>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35"/>
    <w:rsid w:val="00584F90"/>
    <w:rsid w:val="00585448"/>
    <w:rsid w:val="00585AFD"/>
    <w:rsid w:val="00586410"/>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033"/>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362"/>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06D"/>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023"/>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220C"/>
    <w:rsid w:val="006C24D4"/>
    <w:rsid w:val="006C2827"/>
    <w:rsid w:val="006C2A2C"/>
    <w:rsid w:val="006C3C1A"/>
    <w:rsid w:val="006C4533"/>
    <w:rsid w:val="006C4EA5"/>
    <w:rsid w:val="006C4FAD"/>
    <w:rsid w:val="006C543A"/>
    <w:rsid w:val="006C579A"/>
    <w:rsid w:val="006C6BCA"/>
    <w:rsid w:val="006C7C1C"/>
    <w:rsid w:val="006D00A4"/>
    <w:rsid w:val="006D1494"/>
    <w:rsid w:val="006D201F"/>
    <w:rsid w:val="006D28E0"/>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096"/>
    <w:rsid w:val="00706296"/>
    <w:rsid w:val="00706876"/>
    <w:rsid w:val="00706EBF"/>
    <w:rsid w:val="007079EF"/>
    <w:rsid w:val="00710505"/>
    <w:rsid w:val="007108C2"/>
    <w:rsid w:val="00710987"/>
    <w:rsid w:val="007112E5"/>
    <w:rsid w:val="00711451"/>
    <w:rsid w:val="00712217"/>
    <w:rsid w:val="00712F5E"/>
    <w:rsid w:val="007133F7"/>
    <w:rsid w:val="00715FD0"/>
    <w:rsid w:val="007169C9"/>
    <w:rsid w:val="0071718A"/>
    <w:rsid w:val="007171C6"/>
    <w:rsid w:val="00717A39"/>
    <w:rsid w:val="00717C00"/>
    <w:rsid w:val="007215F2"/>
    <w:rsid w:val="00721903"/>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22AB"/>
    <w:rsid w:val="00732A05"/>
    <w:rsid w:val="00732C68"/>
    <w:rsid w:val="007336A0"/>
    <w:rsid w:val="00733F62"/>
    <w:rsid w:val="00734235"/>
    <w:rsid w:val="00734929"/>
    <w:rsid w:val="0073507A"/>
    <w:rsid w:val="00736866"/>
    <w:rsid w:val="00736B55"/>
    <w:rsid w:val="0073761D"/>
    <w:rsid w:val="00737B89"/>
    <w:rsid w:val="00740BB5"/>
    <w:rsid w:val="00741F61"/>
    <w:rsid w:val="0074398E"/>
    <w:rsid w:val="00743FD7"/>
    <w:rsid w:val="0074408B"/>
    <w:rsid w:val="0074447E"/>
    <w:rsid w:val="00744830"/>
    <w:rsid w:val="00744ED0"/>
    <w:rsid w:val="00745FB0"/>
    <w:rsid w:val="00746485"/>
    <w:rsid w:val="007465DF"/>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862"/>
    <w:rsid w:val="007B5E41"/>
    <w:rsid w:val="007B66CE"/>
    <w:rsid w:val="007B70A5"/>
    <w:rsid w:val="007B70D6"/>
    <w:rsid w:val="007B7357"/>
    <w:rsid w:val="007C0A55"/>
    <w:rsid w:val="007C0B99"/>
    <w:rsid w:val="007C1CA2"/>
    <w:rsid w:val="007C23C7"/>
    <w:rsid w:val="007C2716"/>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A4C"/>
    <w:rsid w:val="00820E63"/>
    <w:rsid w:val="0082139C"/>
    <w:rsid w:val="00822229"/>
    <w:rsid w:val="00823318"/>
    <w:rsid w:val="00824384"/>
    <w:rsid w:val="008259BB"/>
    <w:rsid w:val="00825E11"/>
    <w:rsid w:val="0083038C"/>
    <w:rsid w:val="0083069B"/>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A4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58AF"/>
    <w:rsid w:val="00875CAB"/>
    <w:rsid w:val="008763BF"/>
    <w:rsid w:val="00876E4D"/>
    <w:rsid w:val="00876FA3"/>
    <w:rsid w:val="0087724A"/>
    <w:rsid w:val="00877A59"/>
    <w:rsid w:val="00877ABF"/>
    <w:rsid w:val="00877EA3"/>
    <w:rsid w:val="00880030"/>
    <w:rsid w:val="008805DD"/>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331"/>
    <w:rsid w:val="00892CAB"/>
    <w:rsid w:val="00892F0A"/>
    <w:rsid w:val="00893082"/>
    <w:rsid w:val="0089358D"/>
    <w:rsid w:val="008935F6"/>
    <w:rsid w:val="00894787"/>
    <w:rsid w:val="00894F90"/>
    <w:rsid w:val="00895AFE"/>
    <w:rsid w:val="00896C6F"/>
    <w:rsid w:val="00897194"/>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46E"/>
    <w:rsid w:val="008C78B4"/>
    <w:rsid w:val="008C7C0C"/>
    <w:rsid w:val="008D1B2B"/>
    <w:rsid w:val="008D1BD0"/>
    <w:rsid w:val="008D3148"/>
    <w:rsid w:val="008D3554"/>
    <w:rsid w:val="008D35B0"/>
    <w:rsid w:val="008D4264"/>
    <w:rsid w:val="008D4776"/>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67D6"/>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4EEF"/>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0DF"/>
    <w:rsid w:val="00983238"/>
    <w:rsid w:val="0098342D"/>
    <w:rsid w:val="009835AF"/>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4CC"/>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6C2"/>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322"/>
    <w:rsid w:val="00AE3571"/>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0F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267"/>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97CE2"/>
    <w:rsid w:val="00BA0A43"/>
    <w:rsid w:val="00BA0FEC"/>
    <w:rsid w:val="00BA13B6"/>
    <w:rsid w:val="00BA4367"/>
    <w:rsid w:val="00BA4809"/>
    <w:rsid w:val="00BA5052"/>
    <w:rsid w:val="00BA5423"/>
    <w:rsid w:val="00BA5A91"/>
    <w:rsid w:val="00BA6C03"/>
    <w:rsid w:val="00BA74B7"/>
    <w:rsid w:val="00BA75B4"/>
    <w:rsid w:val="00BB05CA"/>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3FF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5FE"/>
    <w:rsid w:val="00C6275D"/>
    <w:rsid w:val="00C62D9D"/>
    <w:rsid w:val="00C63ABA"/>
    <w:rsid w:val="00C63FED"/>
    <w:rsid w:val="00C643C7"/>
    <w:rsid w:val="00C64771"/>
    <w:rsid w:val="00C64F84"/>
    <w:rsid w:val="00C65D05"/>
    <w:rsid w:val="00C665C3"/>
    <w:rsid w:val="00C67148"/>
    <w:rsid w:val="00C70171"/>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35B"/>
    <w:rsid w:val="00C8611C"/>
    <w:rsid w:val="00C86BD3"/>
    <w:rsid w:val="00C86C8C"/>
    <w:rsid w:val="00C8732D"/>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243A"/>
    <w:rsid w:val="00CA25E1"/>
    <w:rsid w:val="00CA2A1F"/>
    <w:rsid w:val="00CA2F73"/>
    <w:rsid w:val="00CA37E6"/>
    <w:rsid w:val="00CA37FA"/>
    <w:rsid w:val="00CA4F83"/>
    <w:rsid w:val="00CA51FA"/>
    <w:rsid w:val="00CA533E"/>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92B"/>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3D17"/>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CB4"/>
    <w:rsid w:val="00D923BF"/>
    <w:rsid w:val="00D92470"/>
    <w:rsid w:val="00D94C30"/>
    <w:rsid w:val="00D94E0A"/>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6378"/>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8C8"/>
    <w:rsid w:val="00E42BA8"/>
    <w:rsid w:val="00E43718"/>
    <w:rsid w:val="00E43B0E"/>
    <w:rsid w:val="00E43EE5"/>
    <w:rsid w:val="00E44EDE"/>
    <w:rsid w:val="00E45ADB"/>
    <w:rsid w:val="00E4601C"/>
    <w:rsid w:val="00E460A0"/>
    <w:rsid w:val="00E46872"/>
    <w:rsid w:val="00E470EC"/>
    <w:rsid w:val="00E4752C"/>
    <w:rsid w:val="00E50AB6"/>
    <w:rsid w:val="00E51C26"/>
    <w:rsid w:val="00E52110"/>
    <w:rsid w:val="00E5213B"/>
    <w:rsid w:val="00E52438"/>
    <w:rsid w:val="00E5253F"/>
    <w:rsid w:val="00E547AE"/>
    <w:rsid w:val="00E54E03"/>
    <w:rsid w:val="00E550D7"/>
    <w:rsid w:val="00E551DE"/>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258"/>
    <w:rsid w:val="00EC18FA"/>
    <w:rsid w:val="00EC2B95"/>
    <w:rsid w:val="00EC2BF2"/>
    <w:rsid w:val="00EC3403"/>
    <w:rsid w:val="00EC3469"/>
    <w:rsid w:val="00EC3BA4"/>
    <w:rsid w:val="00EC3E8F"/>
    <w:rsid w:val="00EC4748"/>
    <w:rsid w:val="00EC6689"/>
    <w:rsid w:val="00EC6D8E"/>
    <w:rsid w:val="00EC70A1"/>
    <w:rsid w:val="00EC7539"/>
    <w:rsid w:val="00ED067F"/>
    <w:rsid w:val="00ED2106"/>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4AE3"/>
    <w:rsid w:val="00F15868"/>
    <w:rsid w:val="00F16622"/>
    <w:rsid w:val="00F2048F"/>
    <w:rsid w:val="00F20630"/>
    <w:rsid w:val="00F2064A"/>
    <w:rsid w:val="00F20789"/>
    <w:rsid w:val="00F210C0"/>
    <w:rsid w:val="00F2145C"/>
    <w:rsid w:val="00F21CCE"/>
    <w:rsid w:val="00F21F61"/>
    <w:rsid w:val="00F22119"/>
    <w:rsid w:val="00F231FE"/>
    <w:rsid w:val="00F2461E"/>
    <w:rsid w:val="00F250E2"/>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3F4C"/>
    <w:rsid w:val="00F541A7"/>
    <w:rsid w:val="00F56778"/>
    <w:rsid w:val="00F567E1"/>
    <w:rsid w:val="00F56D97"/>
    <w:rsid w:val="00F6080B"/>
    <w:rsid w:val="00F6148F"/>
    <w:rsid w:val="00F62168"/>
    <w:rsid w:val="00F622C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77BD9"/>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322"/>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E33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32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657</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71</cp:revision>
  <cp:lastPrinted>2001-04-23T09:30:00Z</cp:lastPrinted>
  <dcterms:created xsi:type="dcterms:W3CDTF">2021-10-20T08:05:00Z</dcterms:created>
  <dcterms:modified xsi:type="dcterms:W3CDTF">2022-02-14T21:12:00Z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